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365" w:lineRule="auto"/>
        <w:ind w:right="61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pStyle w:val="Heading3"/>
        <w:keepNext w:val="0"/>
        <w:widowControl w:val="0"/>
        <w:tabs>
          <w:tab w:val="left" w:leader="none" w:pos="9921"/>
        </w:tabs>
        <w:ind w:firstLine="709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г. Казань                                                                                                  «__» _______ 2023 г.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именуемое в дальнейшем «Исполнитель», в лице первого проректора Шарапова Азата Рафиковича, действующего на основании доверенности № 01-03-174 от 20 января 2022 г.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, с одной стороны, и ______________________________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именуемое в дальнейшем «Учреждение», в лице _______________________, действующего на основании ____________________________, с другой стороны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4"/>
        </w:numPr>
        <w:spacing w:after="120" w:before="120" w:lineRule="auto"/>
        <w:ind w:left="0"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</w:t>
      </w:r>
      <w:r w:rsidDel="00000000" w:rsidR="00000000" w:rsidRPr="00000000">
        <w:rPr>
          <w:b w:val="1"/>
          <w:sz w:val="26"/>
          <w:szCs w:val="26"/>
          <w:rtl w:val="0"/>
        </w:rPr>
        <w:t xml:space="preserve">редмет договора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соответствии с настоящим договором Исполнитель обязуется оказать услуги по организации участия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представителей Учреждения (список представителей Учреждения в Приложении №1 к настоящему Договору) во</w:t>
      </w:r>
      <w:r w:rsidDel="00000000" w:rsidR="00000000" w:rsidRPr="00000000">
        <w:rPr>
          <w:sz w:val="26"/>
          <w:szCs w:val="26"/>
          <w:rtl w:val="0"/>
        </w:rPr>
        <w:t xml:space="preserve"> всероссийской олимпиаде школьников по экологии в 2023 году (далее – мероприятие), которая будет проходить в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период с 10 апреля по 15 апреля 2023 года (далее – услуги), а Учреждение обязуется оплатить организационный взнос Исполнителя.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4"/>
        </w:numPr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период проведения мероприятия с 10 апреля по 15 апреля 2023 года представителям Учреждения оказываются следующие услуги: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организация проживания,</w:t>
      </w:r>
    </w:p>
    <w:p w:rsidR="00000000" w:rsidDel="00000000" w:rsidP="00000000" w:rsidRDefault="00000000" w:rsidRPr="00000000" w14:paraId="00000009">
      <w:pPr>
        <w:widowControl w:val="0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организация 3-х разового питания,</w:t>
      </w:r>
    </w:p>
    <w:p w:rsidR="00000000" w:rsidDel="00000000" w:rsidP="00000000" w:rsidRDefault="00000000" w:rsidRPr="00000000" w14:paraId="0000000A">
      <w:pPr>
        <w:widowControl w:val="0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организация проезда к месту проведения мероприятия,</w:t>
      </w:r>
    </w:p>
    <w:p w:rsidR="00000000" w:rsidDel="00000000" w:rsidP="00000000" w:rsidRDefault="00000000" w:rsidRPr="00000000" w14:paraId="0000000B">
      <w:pPr>
        <w:widowControl w:val="0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обучение,</w:t>
      </w:r>
    </w:p>
    <w:p w:rsidR="00000000" w:rsidDel="00000000" w:rsidP="00000000" w:rsidRDefault="00000000" w:rsidRPr="00000000" w14:paraId="0000000C">
      <w:pPr>
        <w:widowControl w:val="0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обеспечение раздаточным материалом</w:t>
      </w:r>
    </w:p>
    <w:p w:rsidR="00000000" w:rsidDel="00000000" w:rsidP="00000000" w:rsidRDefault="00000000" w:rsidRPr="00000000" w14:paraId="0000000D">
      <w:pPr>
        <w:widowControl w:val="0"/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экскурсионное обслуживание.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after="120" w:before="120" w:lineRule="auto"/>
        <w:ind w:left="0"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Права</w:t>
      </w:r>
      <w:r w:rsidDel="00000000" w:rsidR="00000000" w:rsidRPr="00000000">
        <w:rPr>
          <w:b w:val="1"/>
          <w:sz w:val="26"/>
          <w:szCs w:val="26"/>
          <w:rtl w:val="0"/>
        </w:rPr>
        <w:t xml:space="preserve"> и обязанности сторон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Учреждение обязуется: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Перечислить организационный взнос за Услуги, указанные в п. 1.2 настоящего Договора, в порядке и в срок, установленные настоящим Договором.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Информировать Исполнителя о произведенном платеже и направить в его адрес копию платежного поручения по электронной почте.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Организовать и обеспечить качественное и своевременное оказание услуг, указанных в п. 1.2. настоящего Договора.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after="120" w:before="120" w:lineRule="auto"/>
        <w:ind w:left="357" w:hanging="3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Сроки и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порядок</w:t>
      </w:r>
      <w:r w:rsidDel="00000000" w:rsidR="00000000" w:rsidRPr="00000000">
        <w:rPr>
          <w:b w:val="1"/>
          <w:sz w:val="26"/>
          <w:szCs w:val="26"/>
          <w:rtl w:val="0"/>
        </w:rPr>
        <w:t xml:space="preserve"> расчетов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Количество представителей – _______________. Общая сумма расходов на одного представителя делегации от Учреждения составляет 50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000 (</w:t>
      </w:r>
      <w:r w:rsidDel="00000000" w:rsidR="00000000" w:rsidRPr="00000000">
        <w:rPr>
          <w:sz w:val="26"/>
          <w:szCs w:val="26"/>
          <w:rtl w:val="0"/>
        </w:rPr>
        <w:t xml:space="preserve">пятьдесят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тысяч) рублей 00 копеек, в том числе НДС - </w:t>
      </w:r>
      <w:r w:rsidDel="00000000" w:rsidR="00000000" w:rsidRPr="00000000">
        <w:rPr>
          <w:sz w:val="26"/>
          <w:szCs w:val="26"/>
          <w:rtl w:val="0"/>
        </w:rPr>
        <w:t xml:space="preserve">83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33,33 </w:t>
      </w:r>
      <w:r w:rsidDel="00000000" w:rsidR="00000000" w:rsidRPr="00000000">
        <w:rPr>
          <w:sz w:val="26"/>
          <w:szCs w:val="26"/>
          <w:rtl w:val="0"/>
        </w:rPr>
        <w:t xml:space="preserve">руб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hd w:fill="ffffff" w:val="clear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рамках настоящего Договора Исполнитель оказывает услуги в отношении _______ (количество представителей) представителей Учреждения. Общая сумма настоящего   Договора составляет  ______________(______________) рублей, в том числе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НДС 20 % ____________________ (____________________) рублей.</w:t>
      </w:r>
    </w:p>
    <w:p w:rsidR="00000000" w:rsidDel="00000000" w:rsidP="00000000" w:rsidRDefault="00000000" w:rsidRPr="00000000" w14:paraId="00000018">
      <w:pPr>
        <w:jc w:val="both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Оплата организационного взноса осуществляется Учреждением путем перевода денежных средств по реквизитам, указанным в п.10 Договора, в течение 10 (десяти) рабочих дней с момента подписания настоящего Договора обеими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Обязательство Учреждения по оплате организационного взноса считается исполненным после поступления денежных средств на счет Исполнителя.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позднее 2-х рабочих дней с момента оказания услуг, Исполнитель на адрес электронной почты Учреждения, указанной в разделе 10 настоящего Договора, направляет уведомление об оказании услуг в рамках настоящего Договора.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Учреждение в течение 5-ти рабочих дней с даты направления Исполнителем уведомления об оказании услуг составляет акт сдачи-приемки услуг в двух экземплярах, подписывает со своей Стороны и передает их Исполнителю.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Исполнитель обязан не позднее 5-ти рабочих дней с даты получения акта сдачи-приемки услуг подписать его и передать один экземпляр Исполнителю. Одновременно с актом сдачи-приемки услуг Исполнитель обязан передать Учреждению счет-фактуру.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Учреждение в установленные п. 3.5. настоящего Договора сроки не предпримет никаких действий по направлению Исполнителю подписанного со своей Стороны акта сдачи-приемки услуг и не направит мотивированного возражения по объему оказанных услуг, услуги считаются оказанными в полном объеме, надлежащим качеством и принятыми Заказчиком на дату направления Исполнителем уведомления об оказании услуг.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spacing w:after="120" w:before="120" w:lineRule="auto"/>
        <w:ind w:left="357" w:hanging="3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Гарантии сторон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настоящего Договора.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after="120" w:before="120" w:lineRule="auto"/>
        <w:ind w:left="357" w:hanging="357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20" w:before="120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22">
      <w:pPr>
        <w:widowControl w:val="0"/>
        <w:spacing w:after="120" w:before="120" w:lineRule="auto"/>
        <w:ind w:left="35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 Обстоятельства непреодолимой силы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частичное или полное неисполнение обязательств по настоящему Договору в случае, если невыполнение обязательств вызвано обстоятельствами непреодолимой силы.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000000" w:rsidDel="00000000" w:rsidP="00000000" w:rsidRDefault="00000000" w:rsidRPr="00000000" w14:paraId="00000027">
      <w:pPr>
        <w:widowControl w:val="0"/>
        <w:ind w:left="709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20" w:before="120" w:lineRule="auto"/>
        <w:ind w:left="357" w:hanging="3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sz w:val="26"/>
          <w:szCs w:val="26"/>
          <w:rtl w:val="0"/>
        </w:rPr>
        <w:t xml:space="preserve">Датой начала оказания услуг по договору является дата поступления денежных средств на счет Исполнителя в соответствии с п. 3.2 настоящего Договора. Дата окончания оказания услуг – 15 апреля 2023 года.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Срок действия настоящего Договора – с даты подписания Сторонами настоящего Договора до полного исполнения Сторонами своих обязательств.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20" w:before="120" w:lineRule="auto"/>
        <w:ind w:left="357" w:hanging="3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Разрешение споров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8.1. Все споры и разногласия, которые могут возникнуть из настоящего Договора, будут по возможности, разрешаться путем переговоров между Сторонами.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 с даты получения претензии.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если Стороны не придут к соглашению, споры разрешаются в порядке, установленном действующим законодательством РФ.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120" w:before="120" w:lineRule="auto"/>
        <w:ind w:left="357" w:hanging="35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Прочие условия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Настоящий Договор составлен в двух экземплярах по одному для каждой из Сторон.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изменения и дополнения к настоящему Договору действительны лишь в том случае, если они не совершены в письменной форме и подписаны обеими Сторонами.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Настоящий Договор может быть расторгнут по соглашению Сторон, решению суда или в результате одностороннего отказа Стороны от настоящего Договора в случаях и в порядке, предусмотренными законодательством РФ.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10 Договора, либо почтой, заказным письмом с уведомлением, по адресам, указанным в разделе 10 Договора.</w:t>
      </w:r>
    </w:p>
    <w:p w:rsidR="00000000" w:rsidDel="00000000" w:rsidP="00000000" w:rsidRDefault="00000000" w:rsidRPr="00000000" w14:paraId="00000034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Договора.</w:t>
      </w:r>
    </w:p>
    <w:p w:rsidR="00000000" w:rsidDel="00000000" w:rsidP="00000000" w:rsidRDefault="00000000" w:rsidRPr="00000000" w14:paraId="00000035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00000" w:rsidDel="00000000" w:rsidP="00000000" w:rsidRDefault="00000000" w:rsidRPr="00000000" w14:paraId="00000036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0000" w:rsidDel="00000000" w:rsidP="00000000" w:rsidRDefault="00000000" w:rsidRPr="00000000" w14:paraId="00000037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000" w:rsidDel="00000000" w:rsidP="00000000" w:rsidRDefault="00000000" w:rsidRPr="00000000" w14:paraId="00000038">
      <w:pPr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000000" w:rsidDel="00000000" w:rsidP="00000000" w:rsidRDefault="00000000" w:rsidRPr="00000000" w14:paraId="0000003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5245"/>
        <w:tblGridChange w:id="0">
          <w:tblGrid>
            <w:gridCol w:w="4928"/>
            <w:gridCol w:w="5245"/>
          </w:tblGrid>
        </w:tblGridChange>
      </w:tblGrid>
      <w:tr>
        <w:trPr>
          <w:cantSplit w:val="0"/>
          <w:trHeight w:val="142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Heading4"/>
              <w:keepNext w:val="0"/>
              <w:widowControl w:val="0"/>
              <w:ind w:lef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Учреждение: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Исполнитель: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адрес: 420010, Республика Татарстан, г. Казань, Деревня Универсиады, д. 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ИНН/КПП: 1650050120/165901001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Получатель УФК по Республике Татарстан (ФГБОУ ВО «Поволжский ГУФКСиТ»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л/с 20116Х15050)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счета банка (корреспондентский счет) 40102810445370000079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казначейского счета 03214643000000011100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 получателя ОТДЕЛЕНИЕ – НБ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АТАРСТАН БАНКА РОССИИ//УФК по Республике Татарстан г.Казань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БИК: 019205400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ЭКД 00000000000000000130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Первый проректор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 А.Р.Шарапов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120" w:before="120" w:lineRule="auto"/>
              <w:ind w:right="184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м.п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ind w:left="76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76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7655" w:firstLine="0"/>
        <w:jc w:val="center"/>
        <w:rPr/>
      </w:pPr>
      <w:r w:rsidDel="00000000" w:rsidR="00000000" w:rsidRPr="00000000">
        <w:rPr>
          <w:rtl w:val="0"/>
        </w:rPr>
        <w:t xml:space="preserve">Приложение №1 </w:t>
      </w:r>
    </w:p>
    <w:p w:rsidR="00000000" w:rsidDel="00000000" w:rsidP="00000000" w:rsidRDefault="00000000" w:rsidRPr="00000000" w14:paraId="00000051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к Договору № _____</w:t>
      </w:r>
    </w:p>
    <w:p w:rsidR="00000000" w:rsidDel="00000000" w:rsidP="00000000" w:rsidRDefault="00000000" w:rsidRPr="00000000" w14:paraId="00000052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от _______2023 года</w:t>
      </w:r>
    </w:p>
    <w:p w:rsidR="00000000" w:rsidDel="00000000" w:rsidP="00000000" w:rsidRDefault="00000000" w:rsidRPr="00000000" w14:paraId="0000005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сопровождающих</w:t>
      </w:r>
    </w:p>
    <w:p w:rsidR="00000000" w:rsidDel="00000000" w:rsidP="00000000" w:rsidRDefault="00000000" w:rsidRPr="00000000" w14:paraId="00000057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2167"/>
        <w:gridCol w:w="2131"/>
        <w:gridCol w:w="2264"/>
        <w:gridCol w:w="2869"/>
        <w:tblGridChange w:id="0">
          <w:tblGrid>
            <w:gridCol w:w="600"/>
            <w:gridCol w:w="2167"/>
            <w:gridCol w:w="2131"/>
            <w:gridCol w:w="2264"/>
            <w:gridCol w:w="28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Контактные данные (телефон; адрес электронной почты)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6"/>
        <w:gridCol w:w="425"/>
        <w:gridCol w:w="5103"/>
        <w:tblGridChange w:id="0">
          <w:tblGrid>
            <w:gridCol w:w="4786"/>
            <w:gridCol w:w="425"/>
            <w:gridCol w:w="5103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Style w:val="Heading4"/>
              <w:keepNext w:val="0"/>
              <w:widowControl w:val="0"/>
              <w:ind w:lef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Учреждение: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Исполнитель: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Первый проректор 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 А.Р.Шарапов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120" w:before="120" w:lineRule="auto"/>
              <w:ind w:right="184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м.п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540"/>
      <w:jc w:val="both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80D88"/>
    <w:rPr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0A7B17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  <w:lang w:eastAsia="x-none" w:val="x-none"/>
    </w:rPr>
  </w:style>
  <w:style w:type="paragraph" w:styleId="3">
    <w:name w:val="heading 3"/>
    <w:basedOn w:val="a"/>
    <w:next w:val="a"/>
    <w:qFormat w:val="1"/>
    <w:rsid w:val="003B1618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qFormat w:val="1"/>
    <w:rsid w:val="003B1618"/>
    <w:pPr>
      <w:keepNext w:val="1"/>
      <w:ind w:left="540"/>
      <w:jc w:val="both"/>
      <w:outlineLvl w:val="3"/>
    </w:pPr>
    <w:rPr>
      <w:b w:val="1"/>
      <w:bCs w:val="1"/>
    </w:rPr>
  </w:style>
  <w:style w:type="paragraph" w:styleId="5">
    <w:name w:val="heading 5"/>
    <w:basedOn w:val="a"/>
    <w:next w:val="a"/>
    <w:qFormat w:val="1"/>
    <w:rsid w:val="003B1618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Document Map"/>
    <w:basedOn w:val="a"/>
    <w:semiHidden w:val="1"/>
    <w:rsid w:val="00694B34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4">
    <w:name w:val="Balloon Text"/>
    <w:basedOn w:val="a"/>
    <w:semiHidden w:val="1"/>
    <w:rsid w:val="00774045"/>
    <w:rPr>
      <w:rFonts w:ascii="Tahoma" w:cs="Tahoma" w:hAnsi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 w:val="1"/>
      <w:bCs w:val="1"/>
      <w:lang w:eastAsia="x-none" w:val="x-none"/>
    </w:rPr>
  </w:style>
  <w:style w:type="character" w:styleId="a9" w:customStyle="1">
    <w:name w:val="Тема примечания Знак"/>
    <w:link w:val="a8"/>
    <w:rsid w:val="00DE571E"/>
    <w:rPr>
      <w:b w:val="1"/>
      <w:bCs w:val="1"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eastAsia="x-none" w:val="x-none"/>
    </w:rPr>
  </w:style>
  <w:style w:type="character" w:styleId="ab" w:customStyle="1">
    <w:name w:val="Основной текст с отступом Знак"/>
    <w:link w:val="aa"/>
    <w:rsid w:val="0002329D"/>
    <w:rPr>
      <w:sz w:val="24"/>
      <w:szCs w:val="24"/>
    </w:rPr>
  </w:style>
  <w:style w:type="character" w:styleId="10" w:customStyle="1">
    <w:name w:val="Заголовок 1 Знак"/>
    <w:link w:val="1"/>
    <w:rsid w:val="000A7B17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ac">
    <w:name w:val="List Paragraph"/>
    <w:basedOn w:val="a"/>
    <w:uiPriority w:val="34"/>
    <w:qFormat w:val="1"/>
    <w:rsid w:val="004A70B7"/>
    <w:pPr>
      <w:ind w:left="720"/>
      <w:contextualSpacing w:val="1"/>
    </w:pPr>
  </w:style>
  <w:style w:type="table" w:styleId="ad">
    <w:name w:val="Table Grid"/>
    <w:basedOn w:val="a1"/>
    <w:rsid w:val="00E02EF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e">
    <w:name w:val="No Spacing"/>
    <w:uiPriority w:val="1"/>
    <w:qFormat w:val="1"/>
    <w:rsid w:val="00E51F1C"/>
    <w:rPr>
      <w:sz w:val="24"/>
      <w:szCs w:val="24"/>
    </w:rPr>
  </w:style>
  <w:style w:type="paragraph" w:styleId="msonospacingmrcssattrmrcssattr" w:customStyle="1">
    <w:name w:val="msonospacing_mr_css_attr_mr_css_attr"/>
    <w:basedOn w:val="a"/>
    <w:rsid w:val="00380D88"/>
    <w:pPr>
      <w:spacing w:after="100" w:afterAutospacing="1" w:before="100" w:beforeAutospacing="1"/>
    </w:pPr>
  </w:style>
  <w:style w:type="paragraph" w:styleId="af">
    <w:name w:val="Normal (Web)"/>
    <w:basedOn w:val="a"/>
    <w:uiPriority w:val="99"/>
    <w:unhideWhenUsed w:val="1"/>
    <w:rsid w:val="00380D88"/>
    <w:pPr>
      <w:spacing w:after="100" w:afterAutospacing="1" w:before="100" w:beforeAutospacing="1"/>
    </w:pPr>
  </w:style>
  <w:style w:type="character" w:styleId="40" w:customStyle="1">
    <w:name w:val="Заголовок 4 Знак"/>
    <w:basedOn w:val="a0"/>
    <w:link w:val="4"/>
    <w:rsid w:val="00DB5514"/>
    <w:rPr>
      <w:b w:val="1"/>
      <w:bCs w:val="1"/>
      <w:sz w:val="24"/>
      <w:szCs w:val="24"/>
    </w:rPr>
  </w:style>
  <w:style w:type="table" w:styleId="11" w:customStyle="1">
    <w:name w:val="Сетка таблицы1"/>
    <w:basedOn w:val="a1"/>
    <w:next w:val="ad"/>
    <w:uiPriority w:val="59"/>
    <w:rsid w:val="0086155D"/>
    <w:rPr>
      <w:rFonts w:ascii="Calibri" w:eastAsia="Calibri" w:hAnsi="Calibr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EuhaA40STcgxO6klCG4bQLMQwQ==">AMUW2mVxqoUI28v/LuxFD7GGCQVKP7BBl2LR4wSvLMA3FJP8vnsR/qbHKiYysct9FJIdM20gZMGr1i834KveqxEBwj0+qGVITA+6QfiIU+9l89xxRqydqvd06TQ1ptugUbqecWAyKd00FjKcVQVZvYhUqg8ujZM7yg==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2023-03-10T13:15:00Z</dcterms:created>
  <dc:creator>USER</dc:creator>
</cp:coreProperties>
</file>